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88D6"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b/>
          <w:bCs/>
          <w:color w:val="1F497D"/>
          <w:kern w:val="0"/>
          <w:u w:val="single"/>
          <w:bdr w:val="none" w:sz="0" w:space="0" w:color="auto" w:frame="1"/>
          <w:lang w:eastAsia="fr-CA"/>
          <w14:ligatures w14:val="none"/>
        </w:rPr>
        <w:t>AVIS PRÉALABLE - Appel de propositions 2026-2027 du Programme Nouveaux Horizons pour les aînés (PNHA) à venir le 2 juin 2026</w:t>
      </w:r>
    </w:p>
    <w:p w14:paraId="576B68C9"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4E9FC85A"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Bonjour,</w:t>
      </w:r>
    </w:p>
    <w:p w14:paraId="62D5FCA9"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464AC2AD"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Le</w:t>
      </w:r>
      <w:r w:rsidRPr="00664202">
        <w:rPr>
          <w:rFonts w:ascii="inherit" w:eastAsia="Times New Roman" w:hAnsi="inherit" w:cs="Times New Roman"/>
          <w:b/>
          <w:bCs/>
          <w:color w:val="1F497D"/>
          <w:kern w:val="0"/>
          <w:bdr w:val="none" w:sz="0" w:space="0" w:color="auto" w:frame="1"/>
          <w:lang w:eastAsia="fr-CA"/>
          <w14:ligatures w14:val="none"/>
        </w:rPr>
        <w:t> 2 juin 2026</w:t>
      </w:r>
      <w:r w:rsidRPr="00664202">
        <w:rPr>
          <w:rFonts w:ascii="inherit" w:eastAsia="Times New Roman" w:hAnsi="inherit" w:cs="Times New Roman"/>
          <w:color w:val="1F497D"/>
          <w:kern w:val="0"/>
          <w:bdr w:val="none" w:sz="0" w:space="0" w:color="auto" w:frame="1"/>
          <w:lang w:eastAsia="fr-CA"/>
          <w14:ligatures w14:val="none"/>
        </w:rPr>
        <w:t>, le gouvernement du Canada lancera l’Appel de propositions (AP) de 2026-2027 pour des projets communautaires dans le cadre du Programme Nouveaux Horizons pour les aînés (PNHA) partout au Canada</w:t>
      </w:r>
      <w:r w:rsidRPr="00664202">
        <w:rPr>
          <w:rFonts w:ascii="inherit" w:eastAsia="Times New Roman" w:hAnsi="inherit" w:cs="Times New Roman"/>
          <w:b/>
          <w:bCs/>
          <w:color w:val="1F497D"/>
          <w:kern w:val="0"/>
          <w:bdr w:val="none" w:sz="0" w:space="0" w:color="auto" w:frame="1"/>
          <w:lang w:eastAsia="fr-CA"/>
          <w14:ligatures w14:val="none"/>
        </w:rPr>
        <w:t>.</w:t>
      </w:r>
    </w:p>
    <w:p w14:paraId="3D1B342D"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b/>
          <w:bCs/>
          <w:color w:val="1F497D"/>
          <w:kern w:val="0"/>
          <w:bdr w:val="none" w:sz="0" w:space="0" w:color="auto" w:frame="1"/>
          <w:lang w:eastAsia="fr-CA"/>
          <w14:ligatures w14:val="none"/>
        </w:rPr>
        <w:t> </w:t>
      </w:r>
    </w:p>
    <w:p w14:paraId="57AD6735"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La date limite pour présenter une demande sera le </w:t>
      </w:r>
      <w:r w:rsidRPr="00664202">
        <w:rPr>
          <w:rFonts w:ascii="inherit" w:eastAsia="Times New Roman" w:hAnsi="inherit" w:cs="Times New Roman"/>
          <w:b/>
          <w:bCs/>
          <w:color w:val="1F497D"/>
          <w:kern w:val="0"/>
          <w:bdr w:val="none" w:sz="0" w:space="0" w:color="auto" w:frame="1"/>
          <w:lang w:eastAsia="fr-CA"/>
          <w14:ligatures w14:val="none"/>
        </w:rPr>
        <w:t>14 juillet 2026 à 15 h, heure avancée de l’Est</w:t>
      </w:r>
      <w:r w:rsidRPr="00664202">
        <w:rPr>
          <w:rFonts w:ascii="inherit" w:eastAsia="Times New Roman" w:hAnsi="inherit" w:cs="Times New Roman"/>
          <w:color w:val="1F497D"/>
          <w:kern w:val="0"/>
          <w:bdr w:val="none" w:sz="0" w:space="0" w:color="auto" w:frame="1"/>
          <w:lang w:eastAsia="fr-CA"/>
          <w14:ligatures w14:val="none"/>
        </w:rPr>
        <w:t>. Les organismes auront 6 semaines pour soumettre leur demande. Les renseignements sur les </w:t>
      </w:r>
      <w:hyperlink r:id="rId5" w:tgtFrame="_blank" w:tooltip="https://www.canada.ca/fr/emploi-developpement-social/services/financement/nouveaux-horizons-aines-communautaires.html" w:history="1">
        <w:r w:rsidRPr="00664202">
          <w:rPr>
            <w:rFonts w:ascii="inherit" w:eastAsia="Times New Roman" w:hAnsi="inherit" w:cs="Times New Roman"/>
            <w:color w:val="467886"/>
            <w:kern w:val="0"/>
            <w:u w:val="single"/>
            <w:bdr w:val="none" w:sz="0" w:space="0" w:color="auto" w:frame="1"/>
            <w:lang w:eastAsia="fr-CA"/>
            <w14:ligatures w14:val="none"/>
          </w:rPr>
          <w:t>pages Web du PNHA</w:t>
        </w:r>
      </w:hyperlink>
      <w:r w:rsidRPr="00664202">
        <w:rPr>
          <w:rFonts w:ascii="inherit" w:eastAsia="Times New Roman" w:hAnsi="inherit" w:cs="Times New Roman"/>
          <w:color w:val="1F497D"/>
          <w:kern w:val="0"/>
          <w:bdr w:val="none" w:sz="0" w:space="0" w:color="auto" w:frame="1"/>
          <w:lang w:eastAsia="fr-CA"/>
          <w14:ligatures w14:val="none"/>
        </w:rPr>
        <w:t> vous aiderons à en savoir plus sur cette possibilité de financement</w:t>
      </w:r>
      <w:r w:rsidRPr="00664202">
        <w:rPr>
          <w:rFonts w:ascii="inherit" w:eastAsia="Times New Roman" w:hAnsi="inherit" w:cs="Times New Roman"/>
          <w:b/>
          <w:bCs/>
          <w:color w:val="1F497D"/>
          <w:kern w:val="0"/>
          <w:bdr w:val="none" w:sz="0" w:space="0" w:color="auto" w:frame="1"/>
          <w:lang w:eastAsia="fr-CA"/>
          <w14:ligatures w14:val="none"/>
        </w:rPr>
        <w:t> à partir du 2 juin 2026.</w:t>
      </w:r>
    </w:p>
    <w:p w14:paraId="325D3352"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58F1FFA3" w14:textId="630B04E5" w:rsidR="00664202" w:rsidRPr="00664202" w:rsidRDefault="00664202" w:rsidP="00664202">
      <w:pPr>
        <w:shd w:val="clear" w:color="auto" w:fill="FFFFFF"/>
        <w:spacing w:after="0" w:line="240" w:lineRule="auto"/>
        <w:textAlignment w:val="baseline"/>
        <w:rPr>
          <w:rFonts w:ascii="Segoe UI" w:eastAsia="Times New Roman" w:hAnsi="Segoe UI" w:cs="Segoe UI"/>
          <w:color w:val="242424"/>
          <w:kern w:val="0"/>
          <w:sz w:val="23"/>
          <w:szCs w:val="23"/>
          <w:lang w:eastAsia="fr-CA"/>
          <w14:ligatures w14:val="none"/>
        </w:rPr>
      </w:pPr>
    </w:p>
    <w:tbl>
      <w:tblPr>
        <w:tblW w:w="9918" w:type="dxa"/>
        <w:tblCellMar>
          <w:left w:w="0" w:type="dxa"/>
          <w:right w:w="0" w:type="dxa"/>
        </w:tblCellMar>
        <w:tblLook w:val="04A0" w:firstRow="1" w:lastRow="0" w:firstColumn="1" w:lastColumn="0" w:noHBand="0" w:noVBand="1"/>
      </w:tblPr>
      <w:tblGrid>
        <w:gridCol w:w="9918"/>
      </w:tblGrid>
      <w:tr w:rsidR="00664202" w:rsidRPr="00664202" w14:paraId="1A18509F" w14:textId="77777777">
        <w:tc>
          <w:tcPr>
            <w:tcW w:w="99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E8FDAF"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b/>
                <w:bCs/>
                <w:color w:val="1F497D"/>
                <w:kern w:val="0"/>
                <w:bdr w:val="none" w:sz="0" w:space="0" w:color="auto" w:frame="1"/>
                <w:lang w:eastAsia="fr-CA"/>
                <w14:ligatures w14:val="none"/>
              </w:rPr>
              <w:t> </w:t>
            </w:r>
          </w:p>
          <w:p w14:paraId="43590AE0"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b/>
                <w:bCs/>
                <w:noProof/>
                <w:color w:val="1F497D"/>
                <w:kern w:val="0"/>
                <w:bdr w:val="none" w:sz="0" w:space="0" w:color="auto" w:frame="1"/>
                <w:lang w:val="en-CA" w:eastAsia="fr-CA"/>
                <w14:ligatures w14:val="none"/>
              </w:rPr>
              <w:drawing>
                <wp:inline distT="0" distB="0" distL="0" distR="0" wp14:anchorId="1DD41CCC" wp14:editId="6D618AFC">
                  <wp:extent cx="190500" cy="190500"/>
                  <wp:effectExtent l="0" t="0" r="0" b="0"/>
                  <wp:docPr id="1" name="Image 1"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4202">
              <w:rPr>
                <w:rFonts w:ascii="inherit" w:eastAsia="Times New Roman" w:hAnsi="inherit" w:cs="Times New Roman"/>
                <w:b/>
                <w:bCs/>
                <w:color w:val="1F497D"/>
                <w:kern w:val="0"/>
                <w:bdr w:val="none" w:sz="0" w:space="0" w:color="auto" w:frame="1"/>
                <w:lang w:eastAsia="fr-CA"/>
                <w14:ligatures w14:val="none"/>
              </w:rPr>
              <w:t> NOUVEAU </w:t>
            </w:r>
            <w:r w:rsidRPr="00664202">
              <w:rPr>
                <w:rFonts w:ascii="inherit" w:eastAsia="Times New Roman" w:hAnsi="inherit" w:cs="Times New Roman"/>
                <w:color w:val="1F497D"/>
                <w:kern w:val="0"/>
                <w:bdr w:val="none" w:sz="0" w:space="0" w:color="auto" w:frame="1"/>
                <w:lang w:eastAsia="fr-CA"/>
                <w14:ligatures w14:val="none"/>
              </w:rPr>
              <w:t>– Veuillez prendre note des nouveautés pour cet Appel de propositions du PNHA 2026-2027:</w:t>
            </w:r>
          </w:p>
          <w:p w14:paraId="4A030738"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7138D2FF"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b/>
                <w:bCs/>
                <w:color w:val="1F497D"/>
                <w:kern w:val="0"/>
                <w:bdr w:val="none" w:sz="0" w:space="0" w:color="auto" w:frame="1"/>
                <w:lang w:eastAsia="fr-CA"/>
                <w14:ligatures w14:val="none"/>
              </w:rPr>
              <w:t>Augmentation du montant maximal de la subvention </w:t>
            </w:r>
          </w:p>
          <w:p w14:paraId="2C0370CE"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Le montant maximal de la subvention est augmenté à 50 000 $ afin de renforcer l'impact des projets et de tenir compte de l'inflation. Une limite de 25 000 $ sera fixée aux dépenses liées à l'aide à l’immobilisation afin de garantir qu’une partie du financement soutient des activités qui bénéficient aux aînés.</w:t>
            </w:r>
          </w:p>
          <w:p w14:paraId="1B0B6588"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b/>
                <w:bCs/>
                <w:color w:val="1F497D"/>
                <w:kern w:val="0"/>
                <w:bdr w:val="none" w:sz="0" w:space="0" w:color="auto" w:frame="1"/>
                <w:lang w:eastAsia="fr-CA"/>
                <w14:ligatures w14:val="none"/>
              </w:rPr>
              <w:t> </w:t>
            </w:r>
          </w:p>
          <w:p w14:paraId="1F42CBF4"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b/>
                <w:bCs/>
                <w:color w:val="1F497D"/>
                <w:kern w:val="0"/>
                <w:bdr w:val="none" w:sz="0" w:space="0" w:color="auto" w:frame="1"/>
                <w:lang w:eastAsia="fr-CA"/>
                <w14:ligatures w14:val="none"/>
              </w:rPr>
              <w:t>Numéro d'entreprise de l'Agence du revenu du Canada obligatoire </w:t>
            </w:r>
          </w:p>
          <w:p w14:paraId="6097164C"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Un </w:t>
            </w:r>
            <w:hyperlink r:id="rId7" w:tgtFrame="_blank" w:tooltip="https://www.canada.ca/fr/agence-revenu/services/impot/entreprises/sujets/inscription-entreprise/numero-entreprise-comptes-programme/comment-inscrire.html" w:history="1">
              <w:r w:rsidRPr="00664202">
                <w:rPr>
                  <w:rFonts w:ascii="inherit" w:eastAsia="Times New Roman" w:hAnsi="inherit" w:cs="Times New Roman"/>
                  <w:color w:val="467886"/>
                  <w:kern w:val="0"/>
                  <w:u w:val="single"/>
                  <w:bdr w:val="none" w:sz="0" w:space="0" w:color="auto" w:frame="1"/>
                  <w:lang w:eastAsia="fr-CA"/>
                  <w14:ligatures w14:val="none"/>
                </w:rPr>
                <w:t>numéro d'entreprise valide de l'Agence du revenu du Canada</w:t>
              </w:r>
            </w:hyperlink>
            <w:r w:rsidRPr="00664202">
              <w:rPr>
                <w:rFonts w:ascii="inherit" w:eastAsia="Times New Roman" w:hAnsi="inherit" w:cs="Times New Roman"/>
                <w:color w:val="1F497D"/>
                <w:kern w:val="0"/>
                <w:bdr w:val="none" w:sz="0" w:space="0" w:color="auto" w:frame="1"/>
                <w:lang w:eastAsia="fr-CA"/>
                <w14:ligatures w14:val="none"/>
              </w:rPr>
              <w:t> est requis pour présenter une demande dans le cadre l’AP 2026-2027.</w:t>
            </w:r>
          </w:p>
          <w:p w14:paraId="1F3F4677"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597F0970"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b/>
                <w:bCs/>
                <w:color w:val="1F497D"/>
                <w:kern w:val="0"/>
                <w:bdr w:val="none" w:sz="0" w:space="0" w:color="auto" w:frame="1"/>
                <w:lang w:eastAsia="fr-CA"/>
                <w14:ligatures w14:val="none"/>
              </w:rPr>
              <w:t>Changement des critères d’évaluation</w:t>
            </w:r>
            <w:r w:rsidRPr="00664202">
              <w:rPr>
                <w:rFonts w:ascii="inherit" w:eastAsia="Times New Roman" w:hAnsi="inherit" w:cs="Times New Roman"/>
                <w:color w:val="1F497D"/>
                <w:kern w:val="0"/>
                <w:bdr w:val="none" w:sz="0" w:space="0" w:color="auto" w:frame="1"/>
                <w:lang w:eastAsia="fr-CA"/>
                <w14:ligatures w14:val="none"/>
              </w:rPr>
              <w:t> </w:t>
            </w:r>
          </w:p>
          <w:p w14:paraId="7999EF17"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Des points supplémentaires seront accordés aux demandes provenant d’organismes établis dont le mandat ou la mission est principalement axé(e) sur les aînés.</w:t>
            </w:r>
          </w:p>
          <w:p w14:paraId="21764AA8"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521AC7E7"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b/>
                <w:bCs/>
                <w:color w:val="1F497D"/>
                <w:kern w:val="0"/>
                <w:bdr w:val="none" w:sz="0" w:space="0" w:color="auto" w:frame="1"/>
                <w:lang w:eastAsia="fr-CA"/>
                <w14:ligatures w14:val="none"/>
              </w:rPr>
              <w:t>SELSC est la plateforme en ligne à utiliser pour présenter une demande </w:t>
            </w:r>
          </w:p>
          <w:p w14:paraId="6873BD96"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Les demandes sous l’AP 2026-2027 devront être soumises via le portail </w:t>
            </w:r>
            <w:hyperlink r:id="rId8" w:tgtFrame="_blank" w:tooltip="https://www.canada.ca/fr/emploi-developpement-social/services/financement/selsc.html" w:history="1">
              <w:r w:rsidRPr="00664202">
                <w:rPr>
                  <w:rFonts w:ascii="inherit" w:eastAsia="Times New Roman" w:hAnsi="inherit" w:cs="Times New Roman"/>
                  <w:color w:val="467886"/>
                  <w:kern w:val="0"/>
                  <w:u w:val="single"/>
                  <w:bdr w:val="none" w:sz="0" w:space="0" w:color="auto" w:frame="1"/>
                  <w:lang w:eastAsia="fr-CA"/>
                  <w14:ligatures w14:val="none"/>
                </w:rPr>
                <w:t>Services en ligne des subventions et contributions (SELSC)</w:t>
              </w:r>
            </w:hyperlink>
            <w:r w:rsidRPr="00664202">
              <w:rPr>
                <w:rFonts w:ascii="inherit" w:eastAsia="Times New Roman" w:hAnsi="inherit" w:cs="Times New Roman"/>
                <w:color w:val="1F497D"/>
                <w:kern w:val="0"/>
                <w:bdr w:val="none" w:sz="0" w:space="0" w:color="auto" w:frame="1"/>
                <w:lang w:eastAsia="fr-CA"/>
                <w14:ligatures w14:val="none"/>
              </w:rPr>
              <w:t>. Les organismes demandeurs sont invités à commencer dès maintenant leur inscription au service en ligne.</w:t>
            </w:r>
          </w:p>
          <w:p w14:paraId="3B3D0713"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2F4526BD"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Si vous ne savez pas si vous ou une personne de votre organisme ayez déjà créé un compte SELSC, veuillez communiquer avec l’équipe du SELSC à </w:t>
            </w:r>
            <w:hyperlink r:id="rId9" w:tooltip="mailto:NA-GCOS-SELSC-GD@hrsdc-rhdcc.gc.ca" w:history="1">
              <w:r w:rsidRPr="00664202">
                <w:rPr>
                  <w:rFonts w:ascii="inherit" w:eastAsia="Times New Roman" w:hAnsi="inherit" w:cs="Times New Roman"/>
                  <w:color w:val="467886"/>
                  <w:kern w:val="0"/>
                  <w:u w:val="single"/>
                  <w:bdr w:val="none" w:sz="0" w:space="0" w:color="auto" w:frame="1"/>
                  <w:lang w:eastAsia="fr-CA"/>
                  <w14:ligatures w14:val="none"/>
                </w:rPr>
                <w:t>NA-GCOS-SELSC-GD@hrsdc-rhdcc.gc.ca</w:t>
              </w:r>
            </w:hyperlink>
            <w:r w:rsidRPr="00664202">
              <w:rPr>
                <w:rFonts w:ascii="inherit" w:eastAsia="Times New Roman" w:hAnsi="inherit" w:cs="Times New Roman"/>
                <w:color w:val="1F497D"/>
                <w:kern w:val="0"/>
                <w:bdr w:val="none" w:sz="0" w:space="0" w:color="auto" w:frame="1"/>
                <w:lang w:eastAsia="fr-CA"/>
                <w14:ligatures w14:val="none"/>
              </w:rPr>
              <w:t>.</w:t>
            </w:r>
          </w:p>
          <w:p w14:paraId="0AEBFB67" w14:textId="77777777" w:rsidR="00664202" w:rsidRPr="00664202" w:rsidRDefault="00664202" w:rsidP="00664202">
            <w:pPr>
              <w:spacing w:after="0" w:line="240" w:lineRule="auto"/>
              <w:rPr>
                <w:rFonts w:ascii="Aptos" w:eastAsia="Times New Roman" w:hAnsi="Aptos" w:cs="Times New Roman"/>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tc>
      </w:tr>
    </w:tbl>
    <w:p w14:paraId="31D9B210"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0790E289"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604BE3A0" w14:textId="77777777" w:rsidR="00664202" w:rsidRDefault="00664202" w:rsidP="00664202">
      <w:pPr>
        <w:shd w:val="clear" w:color="auto" w:fill="FFFFFF"/>
        <w:spacing w:after="0" w:line="240" w:lineRule="auto"/>
        <w:rPr>
          <w:rFonts w:ascii="inherit" w:eastAsia="Times New Roman" w:hAnsi="inherit" w:cs="Times New Roman"/>
          <w:b/>
          <w:bCs/>
          <w:color w:val="1F497D"/>
          <w:kern w:val="0"/>
          <w:bdr w:val="none" w:sz="0" w:space="0" w:color="auto" w:frame="1"/>
          <w:lang w:eastAsia="fr-CA"/>
          <w14:ligatures w14:val="none"/>
        </w:rPr>
      </w:pPr>
    </w:p>
    <w:p w14:paraId="5C4F69A0" w14:textId="38C7B3DC" w:rsidR="00664202" w:rsidRDefault="00664202" w:rsidP="00664202">
      <w:pPr>
        <w:shd w:val="clear" w:color="auto" w:fill="FFFFFF"/>
        <w:spacing w:after="0" w:line="240" w:lineRule="auto"/>
        <w:rPr>
          <w:rFonts w:ascii="inherit" w:eastAsia="Times New Roman" w:hAnsi="inherit" w:cs="Times New Roman"/>
          <w:b/>
          <w:bCs/>
          <w:color w:val="1F497D"/>
          <w:kern w:val="0"/>
          <w:bdr w:val="none" w:sz="0" w:space="0" w:color="auto" w:frame="1"/>
          <w:lang w:eastAsia="fr-CA"/>
          <w14:ligatures w14:val="none"/>
        </w:rPr>
      </w:pPr>
      <w:r w:rsidRPr="00664202">
        <w:rPr>
          <w:rFonts w:ascii="inherit" w:eastAsia="Times New Roman" w:hAnsi="inherit" w:cs="Times New Roman"/>
          <w:b/>
          <w:bCs/>
          <w:color w:val="1F497D"/>
          <w:kern w:val="0"/>
          <w:bdr w:val="none" w:sz="0" w:space="0" w:color="auto" w:frame="1"/>
          <w:lang w:eastAsia="fr-CA"/>
          <w14:ligatures w14:val="none"/>
        </w:rPr>
        <w:lastRenderedPageBreak/>
        <w:t>Le PNHA appuie les projets qui répondent aux objectifs suivants :</w:t>
      </w:r>
    </w:p>
    <w:p w14:paraId="6EC8AF1F"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p>
    <w:p w14:paraId="6D940061" w14:textId="77777777" w:rsidR="00664202" w:rsidRPr="00664202" w:rsidRDefault="00664202" w:rsidP="00664202">
      <w:pPr>
        <w:numPr>
          <w:ilvl w:val="0"/>
          <w:numId w:val="1"/>
        </w:numPr>
        <w:shd w:val="clear" w:color="auto" w:fill="FFFFFF"/>
        <w:spacing w:after="0" w:line="240" w:lineRule="auto"/>
        <w:rPr>
          <w:rFonts w:ascii="Aptos" w:eastAsia="Times New Roman" w:hAnsi="Aptos" w:cs="Segoe UI"/>
          <w:color w:val="1F497D"/>
          <w:kern w:val="0"/>
          <w:sz w:val="22"/>
          <w:szCs w:val="22"/>
          <w:lang w:eastAsia="fr-CA"/>
          <w14:ligatures w14:val="none"/>
        </w:rPr>
      </w:pPr>
      <w:proofErr w:type="gramStart"/>
      <w:r w:rsidRPr="00664202">
        <w:rPr>
          <w:rFonts w:ascii="inherit" w:eastAsia="Times New Roman" w:hAnsi="inherit" w:cs="Segoe UI"/>
          <w:color w:val="1F497D"/>
          <w:kern w:val="0"/>
          <w:bdr w:val="none" w:sz="0" w:space="0" w:color="auto" w:frame="1"/>
          <w:lang w:eastAsia="fr-CA"/>
          <w14:ligatures w14:val="none"/>
        </w:rPr>
        <w:t>promouvoir</w:t>
      </w:r>
      <w:proofErr w:type="gramEnd"/>
      <w:r w:rsidRPr="00664202">
        <w:rPr>
          <w:rFonts w:ascii="inherit" w:eastAsia="Times New Roman" w:hAnsi="inherit" w:cs="Segoe UI"/>
          <w:color w:val="1F497D"/>
          <w:kern w:val="0"/>
          <w:bdr w:val="none" w:sz="0" w:space="0" w:color="auto" w:frame="1"/>
          <w:lang w:eastAsia="fr-CA"/>
          <w14:ligatures w14:val="none"/>
        </w:rPr>
        <w:t xml:space="preserve"> le bénévolat auprès des aînés et des autres générations;</w:t>
      </w:r>
    </w:p>
    <w:p w14:paraId="61DF8099" w14:textId="77777777" w:rsidR="00664202" w:rsidRPr="00664202" w:rsidRDefault="00664202" w:rsidP="00664202">
      <w:pPr>
        <w:numPr>
          <w:ilvl w:val="0"/>
          <w:numId w:val="1"/>
        </w:numPr>
        <w:shd w:val="clear" w:color="auto" w:fill="FFFFFF"/>
        <w:spacing w:after="0" w:line="240" w:lineRule="auto"/>
        <w:rPr>
          <w:rFonts w:ascii="Aptos" w:eastAsia="Times New Roman" w:hAnsi="Aptos" w:cs="Segoe UI"/>
          <w:color w:val="1F497D"/>
          <w:kern w:val="0"/>
          <w:sz w:val="22"/>
          <w:szCs w:val="22"/>
          <w:lang w:eastAsia="fr-CA"/>
          <w14:ligatures w14:val="none"/>
        </w:rPr>
      </w:pPr>
      <w:proofErr w:type="gramStart"/>
      <w:r w:rsidRPr="00664202">
        <w:rPr>
          <w:rFonts w:ascii="inherit" w:eastAsia="Times New Roman" w:hAnsi="inherit" w:cs="Segoe UI"/>
          <w:color w:val="1F497D"/>
          <w:kern w:val="0"/>
          <w:bdr w:val="none" w:sz="0" w:space="0" w:color="auto" w:frame="1"/>
          <w:lang w:eastAsia="fr-CA"/>
          <w14:ligatures w14:val="none"/>
        </w:rPr>
        <w:t>faire</w:t>
      </w:r>
      <w:proofErr w:type="gramEnd"/>
      <w:r w:rsidRPr="00664202">
        <w:rPr>
          <w:rFonts w:ascii="inherit" w:eastAsia="Times New Roman" w:hAnsi="inherit" w:cs="Segoe UI"/>
          <w:color w:val="1F497D"/>
          <w:kern w:val="0"/>
          <w:bdr w:val="none" w:sz="0" w:space="0" w:color="auto" w:frame="1"/>
          <w:lang w:eastAsia="fr-CA"/>
          <w14:ligatures w14:val="none"/>
        </w:rPr>
        <w:t xml:space="preserve"> participer les aînés à la collectivité à titre de mentors auprès d’autres personnes;</w:t>
      </w:r>
    </w:p>
    <w:p w14:paraId="5655550F" w14:textId="77777777" w:rsidR="00664202" w:rsidRPr="00664202" w:rsidRDefault="00664202" w:rsidP="00664202">
      <w:pPr>
        <w:numPr>
          <w:ilvl w:val="0"/>
          <w:numId w:val="1"/>
        </w:numPr>
        <w:shd w:val="clear" w:color="auto" w:fill="FFFFFF"/>
        <w:spacing w:after="0" w:line="240" w:lineRule="auto"/>
        <w:rPr>
          <w:rFonts w:ascii="Aptos" w:eastAsia="Times New Roman" w:hAnsi="Aptos" w:cs="Segoe UI"/>
          <w:color w:val="1F497D"/>
          <w:kern w:val="0"/>
          <w:sz w:val="22"/>
          <w:szCs w:val="22"/>
          <w:lang w:eastAsia="fr-CA"/>
          <w14:ligatures w14:val="none"/>
        </w:rPr>
      </w:pPr>
      <w:proofErr w:type="gramStart"/>
      <w:r w:rsidRPr="00664202">
        <w:rPr>
          <w:rFonts w:ascii="inherit" w:eastAsia="Times New Roman" w:hAnsi="inherit" w:cs="Segoe UI"/>
          <w:color w:val="1F497D"/>
          <w:kern w:val="0"/>
          <w:bdr w:val="none" w:sz="0" w:space="0" w:color="auto" w:frame="1"/>
          <w:lang w:eastAsia="fr-CA"/>
          <w14:ligatures w14:val="none"/>
        </w:rPr>
        <w:t>accroître</w:t>
      </w:r>
      <w:proofErr w:type="gramEnd"/>
      <w:r w:rsidRPr="00664202">
        <w:rPr>
          <w:rFonts w:ascii="inherit" w:eastAsia="Times New Roman" w:hAnsi="inherit" w:cs="Segoe UI"/>
          <w:color w:val="1F497D"/>
          <w:kern w:val="0"/>
          <w:bdr w:val="none" w:sz="0" w:space="0" w:color="auto" w:frame="1"/>
          <w:lang w:eastAsia="fr-CA"/>
          <w14:ligatures w14:val="none"/>
        </w:rPr>
        <w:t xml:space="preserve"> la sensibilisation aux mauvais traitements envers les aînés, y compris à l’exploitation financière;</w:t>
      </w:r>
    </w:p>
    <w:p w14:paraId="22ACF45F" w14:textId="77777777" w:rsidR="00664202" w:rsidRPr="00664202" w:rsidRDefault="00664202" w:rsidP="00664202">
      <w:pPr>
        <w:numPr>
          <w:ilvl w:val="0"/>
          <w:numId w:val="1"/>
        </w:numPr>
        <w:shd w:val="clear" w:color="auto" w:fill="FFFFFF"/>
        <w:spacing w:after="0" w:line="240" w:lineRule="auto"/>
        <w:rPr>
          <w:rFonts w:ascii="Aptos" w:eastAsia="Times New Roman" w:hAnsi="Aptos" w:cs="Segoe UI"/>
          <w:color w:val="1F497D"/>
          <w:kern w:val="0"/>
          <w:sz w:val="22"/>
          <w:szCs w:val="22"/>
          <w:lang w:eastAsia="fr-CA"/>
          <w14:ligatures w14:val="none"/>
        </w:rPr>
      </w:pPr>
      <w:proofErr w:type="gramStart"/>
      <w:r w:rsidRPr="00664202">
        <w:rPr>
          <w:rFonts w:ascii="inherit" w:eastAsia="Times New Roman" w:hAnsi="inherit" w:cs="Segoe UI"/>
          <w:color w:val="1F497D"/>
          <w:kern w:val="0"/>
          <w:bdr w:val="none" w:sz="0" w:space="0" w:color="auto" w:frame="1"/>
          <w:lang w:eastAsia="fr-CA"/>
          <w14:ligatures w14:val="none"/>
        </w:rPr>
        <w:t>appuyer</w:t>
      </w:r>
      <w:proofErr w:type="gramEnd"/>
      <w:r w:rsidRPr="00664202">
        <w:rPr>
          <w:rFonts w:ascii="inherit" w:eastAsia="Times New Roman" w:hAnsi="inherit" w:cs="Segoe UI"/>
          <w:color w:val="1F497D"/>
          <w:kern w:val="0"/>
          <w:bdr w:val="none" w:sz="0" w:space="0" w:color="auto" w:frame="1"/>
          <w:lang w:eastAsia="fr-CA"/>
          <w14:ligatures w14:val="none"/>
        </w:rPr>
        <w:t xml:space="preserve"> la participation sociale et l’inclusion des aînés;</w:t>
      </w:r>
    </w:p>
    <w:p w14:paraId="6027A4C5" w14:textId="77777777" w:rsidR="00664202" w:rsidRPr="00664202" w:rsidRDefault="00664202" w:rsidP="00664202">
      <w:pPr>
        <w:numPr>
          <w:ilvl w:val="0"/>
          <w:numId w:val="1"/>
        </w:numPr>
        <w:shd w:val="clear" w:color="auto" w:fill="FFFFFF"/>
        <w:spacing w:after="0" w:line="240" w:lineRule="auto"/>
        <w:rPr>
          <w:rFonts w:ascii="Aptos" w:eastAsia="Times New Roman" w:hAnsi="Aptos" w:cs="Segoe UI"/>
          <w:color w:val="1F497D"/>
          <w:kern w:val="0"/>
          <w:sz w:val="22"/>
          <w:szCs w:val="22"/>
          <w:lang w:eastAsia="fr-CA"/>
          <w14:ligatures w14:val="none"/>
        </w:rPr>
      </w:pPr>
      <w:proofErr w:type="gramStart"/>
      <w:r w:rsidRPr="00664202">
        <w:rPr>
          <w:rFonts w:ascii="inherit" w:eastAsia="Times New Roman" w:hAnsi="inherit" w:cs="Segoe UI"/>
          <w:color w:val="1F497D"/>
          <w:kern w:val="0"/>
          <w:bdr w:val="none" w:sz="0" w:space="0" w:color="auto" w:frame="1"/>
          <w:lang w:eastAsia="fr-CA"/>
          <w14:ligatures w14:val="none"/>
        </w:rPr>
        <w:t>fournir</w:t>
      </w:r>
      <w:proofErr w:type="gramEnd"/>
      <w:r w:rsidRPr="00664202">
        <w:rPr>
          <w:rFonts w:ascii="inherit" w:eastAsia="Times New Roman" w:hAnsi="inherit" w:cs="Segoe UI"/>
          <w:color w:val="1F497D"/>
          <w:kern w:val="0"/>
          <w:bdr w:val="none" w:sz="0" w:space="0" w:color="auto" w:frame="1"/>
          <w:lang w:eastAsia="fr-CA"/>
          <w14:ligatures w14:val="none"/>
        </w:rPr>
        <w:t xml:space="preserve"> une aide à l’immobilisation pour des projets ou des programmes communautaires nouveaux ou existants, destinés aux aînés.</w:t>
      </w:r>
    </w:p>
    <w:p w14:paraId="6BE9059C"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65892F06"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Les organismes qui souhaitent présenter une demande de financement au PNHA-VC 2026 doivent soumettre leur demande par voie électronique sur le portail des </w:t>
      </w:r>
      <w:hyperlink r:id="rId10" w:tgtFrame="_blank" w:tooltip="https://www.canada.ca/fr/emploi-developpement-social/services/financement/selsc.html" w:history="1">
        <w:r w:rsidRPr="00664202">
          <w:rPr>
            <w:rFonts w:ascii="inherit" w:eastAsia="Times New Roman" w:hAnsi="inherit" w:cs="Times New Roman"/>
            <w:color w:val="467886"/>
            <w:kern w:val="0"/>
            <w:u w:val="single"/>
            <w:bdr w:val="none" w:sz="0" w:space="0" w:color="auto" w:frame="1"/>
            <w:lang w:eastAsia="fr-CA"/>
            <w14:ligatures w14:val="none"/>
          </w:rPr>
          <w:t>Services en ligne des subventions et contributions (SELSC)</w:t>
        </w:r>
      </w:hyperlink>
      <w:r w:rsidRPr="00664202">
        <w:rPr>
          <w:rFonts w:ascii="inherit" w:eastAsia="Times New Roman" w:hAnsi="inherit" w:cs="Times New Roman"/>
          <w:color w:val="1F497D"/>
          <w:kern w:val="0"/>
          <w:bdr w:val="none" w:sz="0" w:space="0" w:color="auto" w:frame="1"/>
          <w:lang w:eastAsia="fr-CA"/>
          <w14:ligatures w14:val="none"/>
        </w:rPr>
        <w:t>. L’inscription aux SELSC est un processus qui doit être effectué qu’une seule fois et qui permet de présenter en toute sécurité des demandes en ligne pour des occasions de financement offertes par Emploi et Développement social Canada (EDSC).</w:t>
      </w:r>
    </w:p>
    <w:p w14:paraId="5ADDF509"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100E3DC7"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Nous vous encourageons à suivre Aînés au Canada sur </w:t>
      </w:r>
      <w:hyperlink r:id="rId11" w:tgtFrame="_blank" w:tooltip="https://www.facebook.com/AinesauCanada/" w:history="1">
        <w:r w:rsidRPr="00664202">
          <w:rPr>
            <w:rFonts w:ascii="inherit" w:eastAsia="Times New Roman" w:hAnsi="inherit" w:cs="Times New Roman"/>
            <w:color w:val="467886"/>
            <w:kern w:val="0"/>
            <w:u w:val="single"/>
            <w:bdr w:val="none" w:sz="0" w:space="0" w:color="auto" w:frame="1"/>
            <w:lang w:eastAsia="fr-CA"/>
            <w14:ligatures w14:val="none"/>
          </w:rPr>
          <w:t>Facebook</w:t>
        </w:r>
      </w:hyperlink>
      <w:r w:rsidRPr="00664202">
        <w:rPr>
          <w:rFonts w:ascii="inherit" w:eastAsia="Times New Roman" w:hAnsi="inherit" w:cs="Times New Roman"/>
          <w:color w:val="1F497D"/>
          <w:kern w:val="0"/>
          <w:bdr w:val="none" w:sz="0" w:space="0" w:color="auto" w:frame="1"/>
          <w:lang w:eastAsia="fr-CA"/>
          <w14:ligatures w14:val="none"/>
        </w:rPr>
        <w:t> et </w:t>
      </w:r>
      <w:hyperlink r:id="rId12" w:tgtFrame="_blank" w:tooltip="https://twitter.com/EDSC_GC" w:history="1">
        <w:r w:rsidRPr="00664202">
          <w:rPr>
            <w:rFonts w:ascii="inherit" w:eastAsia="Times New Roman" w:hAnsi="inherit" w:cs="Times New Roman"/>
            <w:color w:val="467886"/>
            <w:kern w:val="0"/>
            <w:u w:val="single"/>
            <w:bdr w:val="none" w:sz="0" w:space="0" w:color="auto" w:frame="1"/>
            <w:lang w:eastAsia="fr-CA"/>
            <w14:ligatures w14:val="none"/>
          </w:rPr>
          <w:t>X</w:t>
        </w:r>
      </w:hyperlink>
      <w:r w:rsidRPr="00664202">
        <w:rPr>
          <w:rFonts w:ascii="inherit" w:eastAsia="Times New Roman" w:hAnsi="inherit" w:cs="Times New Roman"/>
          <w:color w:val="1F497D"/>
          <w:kern w:val="0"/>
          <w:bdr w:val="none" w:sz="0" w:space="0" w:color="auto" w:frame="1"/>
          <w:lang w:eastAsia="fr-CA"/>
          <w14:ligatures w14:val="none"/>
        </w:rPr>
        <w:t> ou accéder </w:t>
      </w:r>
      <w:hyperlink r:id="rId13" w:tgtFrame="_blank" w:tooltip="https://www.canada.ca/fr/emploi-developpement-social/campagne/aines.html" w:history="1">
        <w:r w:rsidRPr="00664202">
          <w:rPr>
            <w:rFonts w:ascii="inherit" w:eastAsia="Times New Roman" w:hAnsi="inherit" w:cs="Times New Roman"/>
            <w:color w:val="467886"/>
            <w:kern w:val="0"/>
            <w:u w:val="single"/>
            <w:bdr w:val="none" w:sz="0" w:space="0" w:color="auto" w:frame="1"/>
            <w:lang w:eastAsia="fr-CA"/>
            <w14:ligatures w14:val="none"/>
          </w:rPr>
          <w:t>canada.ca/aînés </w:t>
        </w:r>
      </w:hyperlink>
      <w:r w:rsidRPr="00664202">
        <w:rPr>
          <w:rFonts w:ascii="inherit" w:eastAsia="Times New Roman" w:hAnsi="inherit" w:cs="Times New Roman"/>
          <w:color w:val="1F497D"/>
          <w:kern w:val="0"/>
          <w:bdr w:val="none" w:sz="0" w:space="0" w:color="auto" w:frame="1"/>
          <w:lang w:eastAsia="fr-CA"/>
          <w14:ligatures w14:val="none"/>
        </w:rPr>
        <w:t> pour obtenir les</w:t>
      </w:r>
      <w:r w:rsidRPr="00664202">
        <w:rPr>
          <w:rFonts w:ascii="inherit" w:eastAsia="Times New Roman" w:hAnsi="inherit" w:cs="Times New Roman"/>
          <w:i/>
          <w:iCs/>
          <w:color w:val="1F497D"/>
          <w:kern w:val="0"/>
          <w:bdr w:val="none" w:sz="0" w:space="0" w:color="auto" w:frame="1"/>
          <w:lang w:eastAsia="fr-CA"/>
          <w14:ligatures w14:val="none"/>
        </w:rPr>
        <w:t> </w:t>
      </w:r>
      <w:r w:rsidRPr="00664202">
        <w:rPr>
          <w:rFonts w:ascii="inherit" w:eastAsia="Times New Roman" w:hAnsi="inherit" w:cs="Times New Roman"/>
          <w:color w:val="1F497D"/>
          <w:kern w:val="0"/>
          <w:bdr w:val="none" w:sz="0" w:space="0" w:color="auto" w:frame="1"/>
          <w:lang w:eastAsia="fr-CA"/>
          <w14:ligatures w14:val="none"/>
        </w:rPr>
        <w:t>renseignements les plus récents sur les prestations, les programmes et les initiatives offerts aux aînés. De plus, nous vous invitons à suivre et partager notre contenu afin de faire connaître le volet communautaire 2026-2027 du PNHA et les annonces importantes concernant les aînés. Pour vous joindre à la conversation, utilisez #AînésAuCanada.</w:t>
      </w:r>
    </w:p>
    <w:p w14:paraId="0D64B72A"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6BD37EC0"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Pour en savoir plus sur cet appel de propositions, visitez </w:t>
      </w:r>
      <w:hyperlink r:id="rId14" w:tgtFrame="_blank" w:tooltip="https://www.canada.ca/fr/emploi-developpement-social/services/financement/nouveaux-horizons-aines-communautaires.html" w:history="1">
        <w:r w:rsidRPr="00664202">
          <w:rPr>
            <w:rFonts w:ascii="inherit" w:eastAsia="Times New Roman" w:hAnsi="inherit" w:cs="Times New Roman"/>
            <w:color w:val="467886"/>
            <w:kern w:val="0"/>
            <w:u w:val="single"/>
            <w:bdr w:val="none" w:sz="0" w:space="0" w:color="auto" w:frame="1"/>
            <w:lang w:eastAsia="fr-CA"/>
            <w14:ligatures w14:val="none"/>
          </w:rPr>
          <w:t>Programme Nouveaux Horizons pour les aînés – Projets communautaires</w:t>
        </w:r>
      </w:hyperlink>
      <w:r w:rsidRPr="00664202">
        <w:rPr>
          <w:rFonts w:ascii="inherit" w:eastAsia="Times New Roman" w:hAnsi="inherit" w:cs="Times New Roman"/>
          <w:color w:val="1F497D"/>
          <w:kern w:val="0"/>
          <w:bdr w:val="none" w:sz="0" w:space="0" w:color="auto" w:frame="1"/>
          <w:lang w:eastAsia="fr-CA"/>
          <w14:ligatures w14:val="none"/>
        </w:rPr>
        <w:t>.</w:t>
      </w:r>
    </w:p>
    <w:p w14:paraId="2BB28A4E"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7B70A43B"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664202">
        <w:rPr>
          <w:rFonts w:ascii="inherit" w:eastAsia="Times New Roman" w:hAnsi="inherit" w:cs="Times New Roman"/>
          <w:color w:val="1F497D"/>
          <w:kern w:val="0"/>
          <w:bdr w:val="none" w:sz="0" w:space="0" w:color="auto" w:frame="1"/>
          <w:lang w:eastAsia="fr-CA"/>
          <w14:ligatures w14:val="none"/>
        </w:rPr>
        <w:t> </w:t>
      </w:r>
    </w:p>
    <w:p w14:paraId="2B5959BB" w14:textId="77777777" w:rsidR="00664202" w:rsidRPr="00664202"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proofErr w:type="spellStart"/>
      <w:r w:rsidRPr="00664202">
        <w:rPr>
          <w:rFonts w:ascii="inherit" w:eastAsia="Times New Roman" w:hAnsi="inherit" w:cs="Times New Roman"/>
          <w:color w:val="1F497D"/>
          <w:kern w:val="0"/>
          <w:bdr w:val="none" w:sz="0" w:space="0" w:color="auto" w:frame="1"/>
          <w:lang w:val="en-CA" w:eastAsia="fr-CA"/>
          <w14:ligatures w14:val="none"/>
        </w:rPr>
        <w:t>Cordialement</w:t>
      </w:r>
      <w:proofErr w:type="spellEnd"/>
      <w:r w:rsidRPr="00664202">
        <w:rPr>
          <w:rFonts w:ascii="inherit" w:eastAsia="Times New Roman" w:hAnsi="inherit" w:cs="Times New Roman"/>
          <w:color w:val="1F497D"/>
          <w:kern w:val="0"/>
          <w:bdr w:val="none" w:sz="0" w:space="0" w:color="auto" w:frame="1"/>
          <w:lang w:val="en-CA" w:eastAsia="fr-CA"/>
          <w14:ligatures w14:val="none"/>
        </w:rPr>
        <w:t>,</w:t>
      </w:r>
    </w:p>
    <w:p w14:paraId="070B42D0" w14:textId="77777777" w:rsidR="00664202" w:rsidRDefault="00664202" w:rsidP="00664202">
      <w:pPr>
        <w:shd w:val="clear" w:color="auto" w:fill="FFFFFF"/>
        <w:spacing w:after="0" w:line="240" w:lineRule="auto"/>
        <w:rPr>
          <w:rFonts w:ascii="inherit" w:eastAsia="Times New Roman" w:hAnsi="inherit" w:cs="Times New Roman"/>
          <w:b/>
          <w:bCs/>
          <w:color w:val="1F497D"/>
          <w:kern w:val="0"/>
          <w:bdr w:val="none" w:sz="0" w:space="0" w:color="auto" w:frame="1"/>
          <w:lang w:eastAsia="fr-CA"/>
          <w14:ligatures w14:val="none"/>
        </w:rPr>
      </w:pPr>
    </w:p>
    <w:p w14:paraId="71A9F44D" w14:textId="77777777" w:rsidR="00664202" w:rsidRDefault="00664202" w:rsidP="00664202">
      <w:pPr>
        <w:shd w:val="clear" w:color="auto" w:fill="FFFFFF"/>
        <w:spacing w:after="0" w:line="240" w:lineRule="auto"/>
        <w:rPr>
          <w:rFonts w:ascii="inherit" w:eastAsia="Times New Roman" w:hAnsi="inherit" w:cs="Times New Roman"/>
          <w:b/>
          <w:bCs/>
          <w:color w:val="1F497D"/>
          <w:kern w:val="0"/>
          <w:bdr w:val="none" w:sz="0" w:space="0" w:color="auto" w:frame="1"/>
          <w:lang w:eastAsia="fr-CA"/>
          <w14:ligatures w14:val="none"/>
        </w:rPr>
      </w:pPr>
    </w:p>
    <w:p w14:paraId="59A13671" w14:textId="77777777" w:rsidR="00664202" w:rsidRDefault="00664202" w:rsidP="00664202">
      <w:pPr>
        <w:shd w:val="clear" w:color="auto" w:fill="FFFFFF"/>
        <w:spacing w:after="0" w:line="240" w:lineRule="auto"/>
        <w:rPr>
          <w:rFonts w:ascii="inherit" w:eastAsia="Times New Roman" w:hAnsi="inherit" w:cs="Times New Roman"/>
          <w:b/>
          <w:bCs/>
          <w:color w:val="1F497D"/>
          <w:kern w:val="0"/>
          <w:bdr w:val="none" w:sz="0" w:space="0" w:color="auto" w:frame="1"/>
          <w:lang w:eastAsia="fr-CA"/>
          <w14:ligatures w14:val="none"/>
        </w:rPr>
      </w:pPr>
    </w:p>
    <w:p w14:paraId="14CAD744" w14:textId="200E24A9" w:rsidR="00664202" w:rsidRPr="0088427A"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88427A">
        <w:rPr>
          <w:rFonts w:ascii="inherit" w:eastAsia="Times New Roman" w:hAnsi="inherit" w:cs="Times New Roman"/>
          <w:b/>
          <w:bCs/>
          <w:color w:val="1F497D"/>
          <w:kern w:val="0"/>
          <w:bdr w:val="none" w:sz="0" w:space="0" w:color="auto" w:frame="1"/>
          <w:lang w:eastAsia="fr-CA"/>
          <w14:ligatures w14:val="none"/>
        </w:rPr>
        <w:t>Équipe Programme Nouveaux Horizons pour les Aînés</w:t>
      </w:r>
    </w:p>
    <w:p w14:paraId="44B10F24" w14:textId="77777777" w:rsidR="00664202" w:rsidRPr="0088427A"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88427A">
        <w:rPr>
          <w:rFonts w:ascii="inherit" w:eastAsia="Times New Roman" w:hAnsi="inherit" w:cs="Times New Roman"/>
          <w:color w:val="1F497D"/>
          <w:kern w:val="0"/>
          <w:bdr w:val="none" w:sz="0" w:space="0" w:color="auto" w:frame="1"/>
          <w:lang w:eastAsia="fr-CA"/>
          <w14:ligatures w14:val="none"/>
        </w:rPr>
        <w:t>Direction des programmes</w:t>
      </w:r>
    </w:p>
    <w:p w14:paraId="579EA956" w14:textId="77777777" w:rsidR="00664202" w:rsidRPr="0088427A"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r w:rsidRPr="0088427A">
        <w:rPr>
          <w:rFonts w:ascii="inherit" w:eastAsia="Times New Roman" w:hAnsi="inherit" w:cs="Times New Roman"/>
          <w:color w:val="1F497D"/>
          <w:kern w:val="0"/>
          <w:bdr w:val="none" w:sz="0" w:space="0" w:color="auto" w:frame="1"/>
          <w:lang w:eastAsia="fr-CA"/>
          <w14:ligatures w14:val="none"/>
        </w:rPr>
        <w:t>Service Canada – Région du Québec</w:t>
      </w:r>
    </w:p>
    <w:p w14:paraId="7CD334E3" w14:textId="77777777" w:rsidR="00664202" w:rsidRPr="0088427A" w:rsidRDefault="00664202" w:rsidP="00664202">
      <w:pPr>
        <w:shd w:val="clear" w:color="auto" w:fill="FFFFFF"/>
        <w:spacing w:after="0" w:line="240" w:lineRule="auto"/>
        <w:rPr>
          <w:rFonts w:ascii="Aptos" w:eastAsia="Times New Roman" w:hAnsi="Aptos" w:cs="Times New Roman"/>
          <w:color w:val="242424"/>
          <w:kern w:val="0"/>
          <w:sz w:val="22"/>
          <w:szCs w:val="22"/>
          <w:lang w:eastAsia="fr-CA"/>
          <w14:ligatures w14:val="none"/>
        </w:rPr>
      </w:pPr>
      <w:hyperlink r:id="rId15" w:tooltip="mailto:QC-PNHA-NHSP@servicecanada.gc.ca" w:history="1">
        <w:r w:rsidRPr="0088427A">
          <w:rPr>
            <w:rFonts w:ascii="inherit" w:eastAsia="Times New Roman" w:hAnsi="inherit" w:cs="Times New Roman"/>
            <w:color w:val="467886"/>
            <w:kern w:val="0"/>
            <w:u w:val="single"/>
            <w:bdr w:val="none" w:sz="0" w:space="0" w:color="auto" w:frame="1"/>
            <w:lang w:eastAsia="fr-CA"/>
            <w14:ligatures w14:val="none"/>
          </w:rPr>
          <w:t>QC-PNHA-NHSP@servicecanada.gc.ca</w:t>
        </w:r>
      </w:hyperlink>
    </w:p>
    <w:p w14:paraId="4DA0D0D7" w14:textId="77777777" w:rsidR="00664202" w:rsidRPr="0088427A" w:rsidRDefault="00664202" w:rsidP="00664202">
      <w:pPr>
        <w:shd w:val="clear" w:color="auto" w:fill="FFFFFF"/>
        <w:spacing w:after="0" w:line="240" w:lineRule="auto"/>
        <w:rPr>
          <w:rFonts w:ascii="Aptos" w:eastAsia="Times New Roman" w:hAnsi="Aptos" w:cs="Times New Roman"/>
          <w:color w:val="242424"/>
          <w:kern w:val="0"/>
          <w:sz w:val="22"/>
          <w:szCs w:val="22"/>
          <w:lang w:val="en-CA" w:eastAsia="fr-CA"/>
          <w14:ligatures w14:val="none"/>
        </w:rPr>
      </w:pPr>
      <w:r w:rsidRPr="0088427A">
        <w:rPr>
          <w:rFonts w:ascii="inherit" w:eastAsia="Times New Roman" w:hAnsi="inherit" w:cs="Times New Roman"/>
          <w:color w:val="1F497D"/>
          <w:kern w:val="0"/>
          <w:bdr w:val="none" w:sz="0" w:space="0" w:color="auto" w:frame="1"/>
          <w:lang w:val="en-CA" w:eastAsia="fr-CA"/>
          <w14:ligatures w14:val="none"/>
        </w:rPr>
        <w:t>1-866-233-3194</w:t>
      </w:r>
    </w:p>
    <w:p w14:paraId="2EEC4F24" w14:textId="77777777" w:rsidR="00664202" w:rsidRDefault="00664202"/>
    <w:sectPr w:rsidR="0066420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27879"/>
    <w:multiLevelType w:val="multilevel"/>
    <w:tmpl w:val="32323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31629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02"/>
    <w:rsid w:val="00664202"/>
    <w:rsid w:val="00DB0C7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86A1"/>
  <w15:chartTrackingRefBased/>
  <w15:docId w15:val="{F2378A6B-C73B-4BF8-BD7F-B4BA8F89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02"/>
  </w:style>
  <w:style w:type="paragraph" w:styleId="Titre1">
    <w:name w:val="heading 1"/>
    <w:basedOn w:val="Normal"/>
    <w:next w:val="Normal"/>
    <w:link w:val="Titre1Car"/>
    <w:uiPriority w:val="9"/>
    <w:qFormat/>
    <w:rsid w:val="006642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642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6420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6420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6420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6420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420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420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420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420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6420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6420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6420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6420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642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42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42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4202"/>
    <w:rPr>
      <w:rFonts w:eastAsiaTheme="majorEastAsia" w:cstheme="majorBidi"/>
      <w:color w:val="272727" w:themeColor="text1" w:themeTint="D8"/>
    </w:rPr>
  </w:style>
  <w:style w:type="paragraph" w:styleId="Titre">
    <w:name w:val="Title"/>
    <w:basedOn w:val="Normal"/>
    <w:next w:val="Normal"/>
    <w:link w:val="TitreCar"/>
    <w:uiPriority w:val="10"/>
    <w:qFormat/>
    <w:rsid w:val="00664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42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420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42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4202"/>
    <w:pPr>
      <w:spacing w:before="160"/>
      <w:jc w:val="center"/>
    </w:pPr>
    <w:rPr>
      <w:i/>
      <w:iCs/>
      <w:color w:val="404040" w:themeColor="text1" w:themeTint="BF"/>
    </w:rPr>
  </w:style>
  <w:style w:type="character" w:customStyle="1" w:styleId="CitationCar">
    <w:name w:val="Citation Car"/>
    <w:basedOn w:val="Policepardfaut"/>
    <w:link w:val="Citation"/>
    <w:uiPriority w:val="29"/>
    <w:rsid w:val="00664202"/>
    <w:rPr>
      <w:i/>
      <w:iCs/>
      <w:color w:val="404040" w:themeColor="text1" w:themeTint="BF"/>
    </w:rPr>
  </w:style>
  <w:style w:type="paragraph" w:styleId="Paragraphedeliste">
    <w:name w:val="List Paragraph"/>
    <w:basedOn w:val="Normal"/>
    <w:uiPriority w:val="34"/>
    <w:qFormat/>
    <w:rsid w:val="00664202"/>
    <w:pPr>
      <w:ind w:left="720"/>
      <w:contextualSpacing/>
    </w:pPr>
  </w:style>
  <w:style w:type="character" w:styleId="Accentuationintense">
    <w:name w:val="Intense Emphasis"/>
    <w:basedOn w:val="Policepardfaut"/>
    <w:uiPriority w:val="21"/>
    <w:qFormat/>
    <w:rsid w:val="00664202"/>
    <w:rPr>
      <w:i/>
      <w:iCs/>
      <w:color w:val="2F5496" w:themeColor="accent1" w:themeShade="BF"/>
    </w:rPr>
  </w:style>
  <w:style w:type="paragraph" w:styleId="Citationintense">
    <w:name w:val="Intense Quote"/>
    <w:basedOn w:val="Normal"/>
    <w:next w:val="Normal"/>
    <w:link w:val="CitationintenseCar"/>
    <w:uiPriority w:val="30"/>
    <w:qFormat/>
    <w:rsid w:val="00664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64202"/>
    <w:rPr>
      <w:i/>
      <w:iCs/>
      <w:color w:val="2F5496" w:themeColor="accent1" w:themeShade="BF"/>
    </w:rPr>
  </w:style>
  <w:style w:type="character" w:styleId="Rfrenceintense">
    <w:name w:val="Intense Reference"/>
    <w:basedOn w:val="Policepardfaut"/>
    <w:uiPriority w:val="32"/>
    <w:qFormat/>
    <w:rsid w:val="006642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fr/emploi-developpement-social/services/financement/selsc.html" TargetMode="External"/><Relationship Id="rId13" Type="http://schemas.openxmlformats.org/officeDocument/2006/relationships/hyperlink" Target="https://www.canada.ca/fr/emploi-developpement-social/campagne/aines.html" TargetMode="External"/><Relationship Id="rId3" Type="http://schemas.openxmlformats.org/officeDocument/2006/relationships/settings" Target="settings.xml"/><Relationship Id="rId7" Type="http://schemas.openxmlformats.org/officeDocument/2006/relationships/hyperlink" Target="https://www.canada.ca/fr/agence-revenu/services/impot/entreprises/sujets/inscription-entreprise/numero-entreprise-comptes-programme/comment-inscrire.html" TargetMode="External"/><Relationship Id="rId12" Type="http://schemas.openxmlformats.org/officeDocument/2006/relationships/hyperlink" Target="https://twitter.com/EDSC_G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acebook.com/AinesauCanada/" TargetMode="External"/><Relationship Id="rId5" Type="http://schemas.openxmlformats.org/officeDocument/2006/relationships/hyperlink" Target="https://www.canada.ca/fr/emploi-developpement-social/services/financement/nouveaux-horizons-aines-communautaires.html" TargetMode="External"/><Relationship Id="rId15" Type="http://schemas.openxmlformats.org/officeDocument/2006/relationships/hyperlink" Target="mailto:QC-PNHA-NHSP@servicecanada.gc.ca" TargetMode="External"/><Relationship Id="rId10" Type="http://schemas.openxmlformats.org/officeDocument/2006/relationships/hyperlink" Target="https://www.canada.ca/fr/emploi-developpement-social/services/financement/selsc.html" TargetMode="External"/><Relationship Id="rId4" Type="http://schemas.openxmlformats.org/officeDocument/2006/relationships/webSettings" Target="webSettings.xml"/><Relationship Id="rId9" Type="http://schemas.openxmlformats.org/officeDocument/2006/relationships/hyperlink" Target="mailto:NA-GCOS-SELSC-GD@hrsdc-rhdcc.gc.ca" TargetMode="External"/><Relationship Id="rId14" Type="http://schemas.openxmlformats.org/officeDocument/2006/relationships/hyperlink" Target="https://www.canada.ca/fr/emploi-developpement-social/services/financement/nouveaux-horizons-aines-communautair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864</Words>
  <Characters>4754</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Nault</dc:creator>
  <cp:keywords/>
  <dc:description/>
  <cp:lastModifiedBy>Johanne Nault</cp:lastModifiedBy>
  <cp:revision>1</cp:revision>
  <dcterms:created xsi:type="dcterms:W3CDTF">2026-05-13T01:51:00Z</dcterms:created>
  <dcterms:modified xsi:type="dcterms:W3CDTF">2026-05-13T01:54:00Z</dcterms:modified>
</cp:coreProperties>
</file>